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A19" w:rsidRPr="001208E9" w:rsidRDefault="00842A28">
      <w:pPr>
        <w:rPr>
          <w:rFonts w:ascii="Arial" w:hAnsi="Arial"/>
          <w:b/>
          <w:u w:val="single"/>
        </w:rPr>
      </w:pPr>
      <w:bookmarkStart w:id="0" w:name="_GoBack"/>
      <w:bookmarkEnd w:id="0"/>
      <w:r w:rsidRPr="001208E9">
        <w:rPr>
          <w:rFonts w:ascii="Arial" w:hAnsi="Arial"/>
          <w:b/>
          <w:u w:val="single"/>
        </w:rPr>
        <w:t>Policy</w:t>
      </w:r>
    </w:p>
    <w:p w:rsidR="00842A28" w:rsidRDefault="00842A28">
      <w:pPr>
        <w:rPr>
          <w:rFonts w:ascii="Arial" w:hAnsi="Arial"/>
        </w:rPr>
      </w:pPr>
    </w:p>
    <w:p w:rsidR="005B1A19" w:rsidRPr="00E01EAB" w:rsidRDefault="005B1A19">
      <w:pPr>
        <w:rPr>
          <w:rFonts w:ascii="Arial" w:hAnsi="Arial"/>
        </w:rPr>
      </w:pPr>
      <w:r w:rsidRPr="00E01EAB">
        <w:rPr>
          <w:rFonts w:ascii="Arial" w:hAnsi="Arial"/>
        </w:rPr>
        <w:t>The Bureau of Services to the Blind and Visually Impair</w:t>
      </w:r>
      <w:r w:rsidR="00784433">
        <w:rPr>
          <w:rFonts w:ascii="Arial" w:hAnsi="Arial"/>
        </w:rPr>
        <w:t xml:space="preserve">ed will ensure that the </w:t>
      </w:r>
      <w:r w:rsidR="00062A04">
        <w:rPr>
          <w:rFonts w:ascii="Arial" w:hAnsi="Arial"/>
        </w:rPr>
        <w:t>Program Chief</w:t>
      </w:r>
      <w:r w:rsidRPr="00E01EAB">
        <w:rPr>
          <w:rFonts w:ascii="Arial" w:hAnsi="Arial"/>
        </w:rPr>
        <w:t xml:space="preserve"> monitors the purchases of Operators to ensure that ordinary and necessary expenses of the business of an operator do not include costs of markup of an item of merchandise which is over the actual cost of the item, and the item was purchased from a firm in which the operator has a fiscal interest and the markup prior to invoicing the BEN facility directly or indirectly benefits the operator.</w:t>
      </w:r>
    </w:p>
    <w:p w:rsidR="005B1A19" w:rsidRDefault="005B1A19">
      <w:pPr>
        <w:rPr>
          <w:rFonts w:ascii="Arial" w:hAnsi="Arial"/>
        </w:rPr>
      </w:pPr>
    </w:p>
    <w:p w:rsidR="00842A28" w:rsidRPr="001208E9" w:rsidRDefault="00842A28">
      <w:pPr>
        <w:rPr>
          <w:rFonts w:ascii="Arial" w:hAnsi="Arial"/>
          <w:b/>
          <w:u w:val="single"/>
        </w:rPr>
      </w:pPr>
      <w:r w:rsidRPr="001208E9">
        <w:rPr>
          <w:rFonts w:ascii="Arial" w:hAnsi="Arial"/>
          <w:b/>
          <w:u w:val="single"/>
        </w:rPr>
        <w:t>Procedure</w:t>
      </w:r>
    </w:p>
    <w:p w:rsidR="005B1A19" w:rsidRPr="00B23651" w:rsidRDefault="005B1A19">
      <w:pPr>
        <w:rPr>
          <w:rFonts w:ascii="Arial" w:hAnsi="Arial"/>
          <w:b/>
        </w:rPr>
      </w:pPr>
    </w:p>
    <w:p w:rsidR="005B1A19" w:rsidRPr="00E01EAB" w:rsidRDefault="005B1A19">
      <w:pPr>
        <w:rPr>
          <w:rFonts w:ascii="Arial" w:hAnsi="Arial"/>
        </w:rPr>
      </w:pPr>
      <w:r w:rsidRPr="00E01EAB">
        <w:rPr>
          <w:rFonts w:ascii="Arial" w:hAnsi="Arial"/>
        </w:rPr>
        <w:t>Operators must report any purchase of goods, supplies and /or services from any business or other entity in which they have financial or ownership interest on the monthly Profit and Los</w:t>
      </w:r>
      <w:r w:rsidR="00062A04">
        <w:rPr>
          <w:rFonts w:ascii="Arial" w:hAnsi="Arial"/>
        </w:rPr>
        <w:t>s</w:t>
      </w:r>
      <w:r w:rsidRPr="00E01EAB">
        <w:rPr>
          <w:rFonts w:ascii="Arial" w:hAnsi="Arial"/>
        </w:rPr>
        <w:t xml:space="preserve"> Statement.  All such purchases must be documented in an attachment to the Profit and Loss Statement.  BEN staff will monitor operator purchases of such goods, supplies, and/or services by:</w:t>
      </w:r>
    </w:p>
    <w:p w:rsidR="005B1A19" w:rsidRPr="00E01EAB" w:rsidRDefault="005B1A19">
      <w:pPr>
        <w:rPr>
          <w:rFonts w:ascii="Arial" w:hAnsi="Arial"/>
        </w:rPr>
      </w:pPr>
    </w:p>
    <w:p w:rsidR="005B1A19" w:rsidRDefault="005B1A19">
      <w:pPr>
        <w:numPr>
          <w:ilvl w:val="0"/>
          <w:numId w:val="7"/>
        </w:numPr>
        <w:rPr>
          <w:rFonts w:ascii="Arial" w:hAnsi="Arial"/>
        </w:rPr>
      </w:pPr>
      <w:r w:rsidRPr="00E01EAB">
        <w:rPr>
          <w:rFonts w:ascii="Arial" w:hAnsi="Arial"/>
        </w:rPr>
        <w:t>Determining the fair market value for the goods, supplies and/or services (</w:t>
      </w:r>
      <w:r w:rsidR="00842A28">
        <w:rPr>
          <w:rFonts w:ascii="Arial" w:hAnsi="Arial"/>
        </w:rPr>
        <w:t>three comp</w:t>
      </w:r>
      <w:r w:rsidRPr="00E01EAB">
        <w:rPr>
          <w:rFonts w:ascii="Arial" w:hAnsi="Arial"/>
        </w:rPr>
        <w:t>arisons).</w:t>
      </w:r>
    </w:p>
    <w:p w:rsidR="00842A28" w:rsidRDefault="00842A28" w:rsidP="00842A28">
      <w:pPr>
        <w:ind w:left="360"/>
        <w:rPr>
          <w:rFonts w:ascii="Arial" w:hAnsi="Arial"/>
        </w:rPr>
      </w:pPr>
    </w:p>
    <w:p w:rsidR="005B1A19" w:rsidRDefault="00842A28">
      <w:pPr>
        <w:numPr>
          <w:ilvl w:val="0"/>
          <w:numId w:val="7"/>
        </w:numPr>
        <w:rPr>
          <w:rFonts w:ascii="Arial" w:hAnsi="Arial"/>
        </w:rPr>
      </w:pPr>
      <w:r>
        <w:rPr>
          <w:rFonts w:ascii="Arial" w:hAnsi="Arial"/>
        </w:rPr>
        <w:t>V</w:t>
      </w:r>
      <w:r w:rsidR="005B1A19" w:rsidRPr="00E01EAB">
        <w:rPr>
          <w:rFonts w:ascii="Arial" w:hAnsi="Arial"/>
        </w:rPr>
        <w:t>erifying the purchase price of the goods, supplies and/or services through examination of operator receipts and comparing it to the original purchase price.</w:t>
      </w:r>
    </w:p>
    <w:p w:rsidR="00842A28" w:rsidRDefault="00842A28" w:rsidP="00842A28">
      <w:pPr>
        <w:rPr>
          <w:rFonts w:ascii="Arial" w:hAnsi="Arial"/>
        </w:rPr>
      </w:pPr>
    </w:p>
    <w:p w:rsidR="005B1A19" w:rsidRPr="00E01EAB" w:rsidRDefault="00842A28">
      <w:pPr>
        <w:numPr>
          <w:ilvl w:val="0"/>
          <w:numId w:val="7"/>
        </w:numPr>
        <w:rPr>
          <w:rFonts w:ascii="Arial" w:hAnsi="Arial"/>
        </w:rPr>
      </w:pPr>
      <w:r>
        <w:rPr>
          <w:rFonts w:ascii="Arial" w:hAnsi="Arial"/>
        </w:rPr>
        <w:t>D</w:t>
      </w:r>
      <w:r w:rsidR="005B1A19" w:rsidRPr="00E01EAB">
        <w:rPr>
          <w:rFonts w:ascii="Arial" w:hAnsi="Arial"/>
        </w:rPr>
        <w:t>etermining if the purchase price directly or indirectly benefits the operator.</w:t>
      </w:r>
    </w:p>
    <w:p w:rsidR="005B1A19" w:rsidRPr="00E01EAB" w:rsidRDefault="005B1A19">
      <w:pPr>
        <w:rPr>
          <w:rFonts w:ascii="Arial" w:hAnsi="Arial"/>
        </w:rPr>
      </w:pPr>
    </w:p>
    <w:p w:rsidR="005B1A19" w:rsidRDefault="005B1A19">
      <w:pPr>
        <w:rPr>
          <w:rFonts w:ascii="Arial" w:hAnsi="Arial"/>
        </w:rPr>
      </w:pPr>
      <w:r w:rsidRPr="00E01EAB">
        <w:rPr>
          <w:rFonts w:ascii="Arial" w:hAnsi="Arial"/>
        </w:rPr>
        <w:t xml:space="preserve">Upon receipt of this information from the BEN staff person, the </w:t>
      </w:r>
      <w:r w:rsidR="00062A04">
        <w:rPr>
          <w:rFonts w:ascii="Arial" w:hAnsi="Arial"/>
        </w:rPr>
        <w:t>Program Chief</w:t>
      </w:r>
      <w:r w:rsidR="00784433">
        <w:rPr>
          <w:rFonts w:ascii="Arial" w:hAnsi="Arial"/>
        </w:rPr>
        <w:t xml:space="preserve"> </w:t>
      </w:r>
      <w:r w:rsidRPr="00E01EAB">
        <w:rPr>
          <w:rFonts w:ascii="Arial" w:hAnsi="Arial"/>
        </w:rPr>
        <w:t>will notify the operator if those costs are or are not allowable.</w:t>
      </w:r>
    </w:p>
    <w:p w:rsidR="00842A28" w:rsidRPr="00E01EAB" w:rsidRDefault="00842A28">
      <w:pPr>
        <w:rPr>
          <w:rFonts w:ascii="Arial" w:hAnsi="Arial"/>
        </w:rPr>
      </w:pPr>
    </w:p>
    <w:sectPr w:rsidR="00842A28" w:rsidRPr="00E01E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D61" w:rsidRDefault="00C26D61">
      <w:r>
        <w:separator/>
      </w:r>
    </w:p>
  </w:endnote>
  <w:endnote w:type="continuationSeparator" w:id="0">
    <w:p w:rsidR="00C26D61" w:rsidRDefault="00C2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92" w:rsidRDefault="00C21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1B" w:rsidRDefault="00EE121B">
    <w:pPr>
      <w:pStyle w:val="Header"/>
      <w:tabs>
        <w:tab w:val="clear" w:pos="4320"/>
        <w:tab w:val="clear" w:pos="8640"/>
      </w:tabs>
    </w:pPr>
  </w:p>
  <w:tbl>
    <w:tblPr>
      <w:tblW w:w="0" w:type="auto"/>
      <w:tblInd w:w="108" w:type="dxa"/>
      <w:tblLook w:val="0000" w:firstRow="0" w:lastRow="0" w:firstColumn="0" w:lastColumn="0" w:noHBand="0" w:noVBand="0"/>
    </w:tblPr>
    <w:tblGrid>
      <w:gridCol w:w="6641"/>
      <w:gridCol w:w="2611"/>
    </w:tblGrid>
    <w:tr w:rsidR="00EE121B">
      <w:tblPrEx>
        <w:tblCellMar>
          <w:top w:w="0" w:type="dxa"/>
          <w:bottom w:w="0" w:type="dxa"/>
        </w:tblCellMar>
      </w:tblPrEx>
      <w:tc>
        <w:tcPr>
          <w:tcW w:w="6720" w:type="dxa"/>
          <w:tcBorders>
            <w:top w:val="single" w:sz="12" w:space="0" w:color="auto"/>
          </w:tcBorders>
        </w:tcPr>
        <w:p w:rsidR="00EE121B" w:rsidRDefault="001208E9">
          <w:pPr>
            <w:pStyle w:val="Footer"/>
            <w:rPr>
              <w:rFonts w:ascii="Arial" w:hAnsi="Arial" w:cs="Arial"/>
              <w:b/>
              <w:bCs/>
            </w:rPr>
          </w:pPr>
          <w:r>
            <w:rPr>
              <w:rFonts w:ascii="Arial" w:hAnsi="Arial" w:cs="Arial"/>
              <w:b/>
              <w:bCs/>
            </w:rPr>
            <w:t xml:space="preserve">4.14 </w:t>
          </w:r>
          <w:r w:rsidR="00EE121B">
            <w:rPr>
              <w:rFonts w:ascii="Arial" w:hAnsi="Arial" w:cs="Arial"/>
              <w:b/>
              <w:bCs/>
            </w:rPr>
            <w:t>BEN Related Party Business Transactions</w:t>
          </w:r>
        </w:p>
      </w:tc>
      <w:tc>
        <w:tcPr>
          <w:tcW w:w="2640" w:type="dxa"/>
          <w:tcBorders>
            <w:top w:val="single" w:sz="12" w:space="0" w:color="auto"/>
          </w:tcBorders>
        </w:tcPr>
        <w:p w:rsidR="00EE121B" w:rsidRDefault="00EE121B">
          <w:pPr>
            <w:pStyle w:val="Footer"/>
            <w:jc w:val="right"/>
            <w:rP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C26EFA">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C26EFA">
            <w:rPr>
              <w:rStyle w:val="PageNumber"/>
              <w:rFonts w:ascii="Arial" w:hAnsi="Arial" w:cs="Arial"/>
              <w:b/>
              <w:bCs/>
              <w:noProof/>
            </w:rPr>
            <w:t>1</w:t>
          </w:r>
          <w:r>
            <w:rPr>
              <w:rStyle w:val="PageNumber"/>
              <w:rFonts w:ascii="Arial" w:hAnsi="Arial" w:cs="Arial"/>
              <w:b/>
              <w:bCs/>
            </w:rPr>
            <w:fldChar w:fldCharType="end"/>
          </w:r>
        </w:p>
      </w:tc>
    </w:tr>
  </w:tbl>
  <w:p w:rsidR="00EE121B" w:rsidRDefault="00C21C92">
    <w:pPr>
      <w:pStyle w:val="Footer"/>
      <w:rPr>
        <w:rFonts w:ascii="Arial" w:hAnsi="Arial" w:cs="Arial"/>
        <w:b/>
        <w:bCs/>
      </w:rPr>
    </w:pPr>
    <w:r>
      <w:rPr>
        <w:rFonts w:ascii="Arial" w:hAnsi="Arial" w:cs="Arial"/>
        <w:b/>
        <w:bCs/>
      </w:rPr>
      <w:object w:dxaOrig="9489" w:dyaOrig="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6pt;height:19pt">
          <v:imagedata r:id="rId1" o:title=""/>
        </v:shape>
        <o:OLEObject Type="Link" ProgID="Excel.Sheet.12" ShapeID="_x0000_i1026" DrawAspect="Content" r:id="rId2" UpdateMode="Always">
          <o:LinkType>EnhancedMetaFile</o:LinkType>
          <o:LockedField>false</o:LockedField>
        </o:OLEObject>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92" w:rsidRDefault="00C2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D61" w:rsidRDefault="00C26D61">
      <w:r>
        <w:separator/>
      </w:r>
    </w:p>
  </w:footnote>
  <w:footnote w:type="continuationSeparator" w:id="0">
    <w:p w:rsidR="00C26D61" w:rsidRDefault="00C2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92" w:rsidRDefault="00C2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auto"/>
      </w:tblBorders>
      <w:tblLayout w:type="fixed"/>
      <w:tblLook w:val="0000" w:firstRow="0" w:lastRow="0" w:firstColumn="0" w:lastColumn="0" w:noHBand="0" w:noVBand="0"/>
    </w:tblPr>
    <w:tblGrid>
      <w:gridCol w:w="6840"/>
      <w:gridCol w:w="2628"/>
    </w:tblGrid>
    <w:tr w:rsidR="00EE121B">
      <w:tblPrEx>
        <w:tblCellMar>
          <w:top w:w="0" w:type="dxa"/>
          <w:bottom w:w="0" w:type="dxa"/>
        </w:tblCellMar>
      </w:tblPrEx>
      <w:tc>
        <w:tcPr>
          <w:tcW w:w="6840" w:type="dxa"/>
        </w:tcPr>
        <w:p w:rsidR="00EE121B" w:rsidRPr="00C26EFA" w:rsidRDefault="00EE121B">
          <w:pPr>
            <w:pStyle w:val="Header"/>
            <w:rPr>
              <w:rFonts w:ascii="Arial" w:hAnsi="Arial" w:cs="Arial"/>
              <w:b/>
              <w:bCs/>
              <w:sz w:val="36"/>
              <w14:shadow w14:blurRad="50800" w14:dist="38100" w14:dir="2700000" w14:sx="100000" w14:sy="100000" w14:kx="0" w14:ky="0" w14:algn="tl">
                <w14:srgbClr w14:val="000000">
                  <w14:alpha w14:val="60000"/>
                </w14:srgbClr>
              </w14:shadow>
            </w:rPr>
          </w:pPr>
          <w:r w:rsidRPr="00C26EFA">
            <w:rPr>
              <w:rFonts w:ascii="Arial" w:hAnsi="Arial" w:cs="Arial"/>
              <w:b/>
              <w:bCs/>
              <w:sz w:val="36"/>
              <w14:shadow w14:blurRad="50800" w14:dist="38100" w14:dir="2700000" w14:sx="100000" w14:sy="100000" w14:kx="0" w14:ky="0" w14:algn="tl">
                <w14:srgbClr w14:val="000000">
                  <w14:alpha w14:val="60000"/>
                </w14:srgbClr>
              </w14:shadow>
            </w:rPr>
            <w:t>REHABILITATION DIVISION</w:t>
          </w:r>
          <w:r w:rsidRPr="00C26EFA">
            <w:rPr>
              <w:rFonts w:ascii="Arial" w:hAnsi="Arial" w:cs="Arial"/>
              <w:b/>
              <w:bCs/>
              <w:sz w:val="36"/>
              <w14:shadow w14:blurRad="50800" w14:dist="38100" w14:dir="2700000" w14:sx="100000" w14:sy="100000" w14:kx="0" w14:ky="0" w14:algn="tl">
                <w14:srgbClr w14:val="000000">
                  <w14:alpha w14:val="60000"/>
                </w14:srgbClr>
              </w14:shadow>
            </w:rPr>
            <w:tab/>
          </w:r>
          <w:r w:rsidRPr="00C26EFA">
            <w:rPr>
              <w:rFonts w:ascii="Arial" w:hAnsi="Arial" w:cs="Arial"/>
              <w:b/>
              <w:bCs/>
              <w:sz w:val="36"/>
              <w14:shadow w14:blurRad="50800" w14:dist="38100" w14:dir="2700000" w14:sx="100000" w14:sy="100000" w14:kx="0" w14:ky="0" w14:algn="tl">
                <w14:srgbClr w14:val="000000">
                  <w14:alpha w14:val="60000"/>
                </w14:srgbClr>
              </w14:shadow>
            </w:rPr>
            <w:tab/>
          </w:r>
        </w:p>
        <w:p w:rsidR="00EE121B" w:rsidRPr="00842A28" w:rsidRDefault="00EE121B">
          <w:pPr>
            <w:pStyle w:val="Header"/>
            <w:rPr>
              <w:rFonts w:ascii="Arial" w:hAnsi="Arial" w:cs="Arial"/>
              <w:b/>
              <w:bCs/>
              <w:sz w:val="32"/>
            </w:rPr>
          </w:pPr>
          <w:r>
            <w:rPr>
              <w:rFonts w:ascii="Arial" w:hAnsi="Arial" w:cs="Arial"/>
              <w:b/>
              <w:bCs/>
              <w:sz w:val="32"/>
            </w:rPr>
            <w:t>GENERAL ADMINISTRATIVE MANUAL</w:t>
          </w:r>
        </w:p>
        <w:p w:rsidR="00EE121B" w:rsidRDefault="001208E9">
          <w:pPr>
            <w:pStyle w:val="Header"/>
            <w:rPr>
              <w:b/>
              <w:bCs/>
              <w:sz w:val="28"/>
            </w:rPr>
          </w:pPr>
          <w:r>
            <w:rPr>
              <w:rFonts w:ascii="Arial" w:hAnsi="Arial" w:cs="Arial"/>
              <w:b/>
              <w:bCs/>
              <w:sz w:val="28"/>
            </w:rPr>
            <w:t xml:space="preserve">4.14 </w:t>
          </w:r>
          <w:r w:rsidR="00EE121B">
            <w:rPr>
              <w:rFonts w:ascii="Arial" w:hAnsi="Arial" w:cs="Arial"/>
              <w:b/>
              <w:bCs/>
              <w:sz w:val="28"/>
            </w:rPr>
            <w:t xml:space="preserve">BEN </w:t>
          </w:r>
          <w:r w:rsidR="00EE121B" w:rsidRPr="00842A28">
            <w:rPr>
              <w:rFonts w:ascii="Arial" w:hAnsi="Arial" w:cs="Arial"/>
              <w:b/>
              <w:bCs/>
              <w:sz w:val="28"/>
            </w:rPr>
            <w:t>Related Party Business Transactions</w:t>
          </w:r>
        </w:p>
      </w:tc>
      <w:tc>
        <w:tcPr>
          <w:tcW w:w="2628" w:type="dxa"/>
        </w:tcPr>
        <w:p w:rsidR="00EE121B" w:rsidRDefault="00C26EFA">
          <w:pPr>
            <w:pStyle w:val="Header"/>
            <w:jc w:val="center"/>
          </w:pPr>
          <w:r w:rsidRPr="00C26EFA">
            <w:rPr>
              <w:rFonts w:ascii="Arial" w:hAnsi="Arial" w:cs="Arial"/>
              <w:b/>
              <w:bCs/>
              <w:noProof/>
              <w:sz w:val="40"/>
              <w14:shadow w14:blurRad="50800" w14:dist="38100" w14:dir="2700000" w14:sx="100000" w14:sy="100000" w14:kx="0" w14:ky="0" w14:algn="tl">
                <w14:srgbClr w14:val="000000">
                  <w14:alpha w14:val="60000"/>
                </w14:srgbClr>
              </w14:shadow>
            </w:rPr>
            <w:drawing>
              <wp:inline distT="0" distB="0" distL="0" distR="0">
                <wp:extent cx="1821180" cy="746125"/>
                <wp:effectExtent l="0" t="0" r="0" b="0"/>
                <wp:docPr id="1" name="Picture 1"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46125"/>
                        </a:xfrm>
                        <a:prstGeom prst="rect">
                          <a:avLst/>
                        </a:prstGeom>
                        <a:noFill/>
                        <a:ln>
                          <a:noFill/>
                        </a:ln>
                      </pic:spPr>
                    </pic:pic>
                  </a:graphicData>
                </a:graphic>
              </wp:inline>
            </w:drawing>
          </w:r>
        </w:p>
      </w:tc>
    </w:tr>
  </w:tbl>
  <w:p w:rsidR="00EE121B" w:rsidRDefault="00EE121B">
    <w:pPr>
      <w:pStyle w:val="Header"/>
    </w:pPr>
  </w:p>
  <w:p w:rsidR="00EE121B" w:rsidRDefault="00EE1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92" w:rsidRDefault="00C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33B"/>
    <w:multiLevelType w:val="hybridMultilevel"/>
    <w:tmpl w:val="96AE35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2B1188"/>
    <w:multiLevelType w:val="hybridMultilevel"/>
    <w:tmpl w:val="9F120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739B9"/>
    <w:multiLevelType w:val="hybridMultilevel"/>
    <w:tmpl w:val="D1E60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286A17"/>
    <w:multiLevelType w:val="hybridMultilevel"/>
    <w:tmpl w:val="11EAAE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326CC7"/>
    <w:multiLevelType w:val="hybridMultilevel"/>
    <w:tmpl w:val="A59E2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0C6968"/>
    <w:multiLevelType w:val="hybridMultilevel"/>
    <w:tmpl w:val="8A28ABD0"/>
    <w:lvl w:ilvl="0" w:tplc="8604D840">
      <w:start w:val="1"/>
      <w:numFmt w:val="lowerLetter"/>
      <w:lvlText w:val="(%1)"/>
      <w:lvlJc w:val="left"/>
      <w:pPr>
        <w:tabs>
          <w:tab w:val="num" w:pos="1565"/>
        </w:tabs>
        <w:ind w:left="1565" w:hanging="960"/>
      </w:pPr>
      <w:rPr>
        <w:rFonts w:hint="default"/>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6" w15:restartNumberingAfterBreak="0">
    <w:nsid w:val="7E1C571A"/>
    <w:multiLevelType w:val="hybridMultilevel"/>
    <w:tmpl w:val="526A0922"/>
    <w:lvl w:ilvl="0" w:tplc="66F41C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AB"/>
    <w:rsid w:val="00002646"/>
    <w:rsid w:val="00004F04"/>
    <w:rsid w:val="00062A04"/>
    <w:rsid w:val="00082408"/>
    <w:rsid w:val="000826AD"/>
    <w:rsid w:val="000A1159"/>
    <w:rsid w:val="001208E9"/>
    <w:rsid w:val="001803EA"/>
    <w:rsid w:val="0023103A"/>
    <w:rsid w:val="005B09A9"/>
    <w:rsid w:val="005B1A19"/>
    <w:rsid w:val="00784433"/>
    <w:rsid w:val="007B1B15"/>
    <w:rsid w:val="008110CA"/>
    <w:rsid w:val="00842A28"/>
    <w:rsid w:val="008678BF"/>
    <w:rsid w:val="00880D74"/>
    <w:rsid w:val="00A049B5"/>
    <w:rsid w:val="00A70B13"/>
    <w:rsid w:val="00AA6D3F"/>
    <w:rsid w:val="00B23651"/>
    <w:rsid w:val="00BF44BF"/>
    <w:rsid w:val="00C21C92"/>
    <w:rsid w:val="00C26D61"/>
    <w:rsid w:val="00C26EFA"/>
    <w:rsid w:val="00CA1F7E"/>
    <w:rsid w:val="00CE5B00"/>
    <w:rsid w:val="00CF339E"/>
    <w:rsid w:val="00E01EAB"/>
    <w:rsid w:val="00E25442"/>
    <w:rsid w:val="00E86252"/>
    <w:rsid w:val="00E92BB5"/>
    <w:rsid w:val="00EB6B5D"/>
    <w:rsid w:val="00ED6213"/>
    <w:rsid w:val="00EE121B"/>
    <w:rsid w:val="00EF6F06"/>
    <w:rsid w:val="00FC409E"/>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7D460B3-7AEF-471D-ACB2-DB744345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styleId="BalloonText">
    <w:name w:val="Balloon Text"/>
    <w:basedOn w:val="Normal"/>
    <w:semiHidden/>
    <w:rsid w:val="00842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file:///\\curryfiles\shares\Rehab\General_Administrative_Procedures_Manual\GAP%20Version%20&amp;%20Date%20for%20Footers.xlsx!Version%20%23%20&amp;%20Date!R1C1:R1C3"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subject/>
  <dc:creator>hljohnson</dc:creator>
  <cp:keywords/>
  <cp:lastModifiedBy>Sheila Rasor</cp:lastModifiedBy>
  <cp:revision>2</cp:revision>
  <cp:lastPrinted>2010-07-02T17:36:00Z</cp:lastPrinted>
  <dcterms:created xsi:type="dcterms:W3CDTF">2019-11-01T19:28:00Z</dcterms:created>
  <dcterms:modified xsi:type="dcterms:W3CDTF">2019-11-01T19:28:00Z</dcterms:modified>
</cp:coreProperties>
</file>