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43" w:rsidRPr="00615920" w:rsidRDefault="005213BC" w:rsidP="00DD64B8">
      <w:pPr>
        <w:rPr>
          <w:rFonts w:ascii="Arial" w:hAnsi="Arial" w:cs="Arial"/>
          <w:b/>
          <w:szCs w:val="40"/>
          <w:u w:val="single"/>
        </w:rPr>
      </w:pPr>
      <w:bookmarkStart w:id="0" w:name="_GoBack"/>
      <w:bookmarkEnd w:id="0"/>
      <w:r w:rsidRPr="00615920">
        <w:rPr>
          <w:rFonts w:ascii="Arial" w:hAnsi="Arial" w:cs="Arial"/>
          <w:b/>
          <w:szCs w:val="40"/>
          <w:u w:val="single"/>
        </w:rPr>
        <w:t>Policy</w:t>
      </w:r>
    </w:p>
    <w:p w:rsidR="005213BC" w:rsidRPr="00615920" w:rsidRDefault="005213BC" w:rsidP="00DD64B8">
      <w:pPr>
        <w:rPr>
          <w:rFonts w:ascii="Arial" w:hAnsi="Arial" w:cs="Arial"/>
          <w:szCs w:val="40"/>
        </w:rPr>
      </w:pPr>
    </w:p>
    <w:p w:rsidR="00664033" w:rsidRPr="00615920" w:rsidRDefault="00B14898" w:rsidP="00DD64B8">
      <w:pPr>
        <w:rPr>
          <w:rFonts w:ascii="Arial" w:hAnsi="Arial" w:cs="Arial"/>
          <w:szCs w:val="40"/>
        </w:rPr>
      </w:pPr>
      <w:r w:rsidRPr="00615920">
        <w:rPr>
          <w:rFonts w:ascii="Arial" w:hAnsi="Arial" w:cs="Arial"/>
          <w:szCs w:val="40"/>
        </w:rPr>
        <w:t xml:space="preserve">The </w:t>
      </w:r>
      <w:r w:rsidR="00664033" w:rsidRPr="00615920">
        <w:rPr>
          <w:rFonts w:ascii="Arial" w:hAnsi="Arial" w:cs="Arial"/>
          <w:szCs w:val="40"/>
        </w:rPr>
        <w:t xml:space="preserve">Business Enterprise Program </w:t>
      </w:r>
      <w:r w:rsidRPr="00615920">
        <w:rPr>
          <w:rFonts w:ascii="Arial" w:hAnsi="Arial" w:cs="Arial"/>
          <w:szCs w:val="40"/>
        </w:rPr>
        <w:t>will continue to</w:t>
      </w:r>
      <w:r w:rsidR="00664033" w:rsidRPr="00615920">
        <w:rPr>
          <w:rFonts w:ascii="Arial" w:hAnsi="Arial" w:cs="Arial"/>
          <w:szCs w:val="40"/>
        </w:rPr>
        <w:t xml:space="preserve"> review</w:t>
      </w:r>
      <w:r w:rsidRPr="00615920">
        <w:rPr>
          <w:rFonts w:ascii="Arial" w:hAnsi="Arial" w:cs="Arial"/>
          <w:szCs w:val="40"/>
        </w:rPr>
        <w:t xml:space="preserve"> State, Federal and Local policies</w:t>
      </w:r>
      <w:r w:rsidR="00664033" w:rsidRPr="00615920">
        <w:rPr>
          <w:rFonts w:ascii="Arial" w:hAnsi="Arial" w:cs="Arial"/>
          <w:szCs w:val="40"/>
        </w:rPr>
        <w:t xml:space="preserve"> concerning the presence of use of alcoholic beverage, controlled substances, tobacco products and firearms in or on vending facility premises.</w:t>
      </w:r>
    </w:p>
    <w:p w:rsidR="00664033" w:rsidRPr="00615920" w:rsidRDefault="00664033" w:rsidP="00DD64B8">
      <w:pPr>
        <w:rPr>
          <w:rFonts w:ascii="Arial" w:hAnsi="Arial" w:cs="Arial"/>
          <w:szCs w:val="40"/>
        </w:rPr>
      </w:pPr>
    </w:p>
    <w:p w:rsidR="0073294B" w:rsidRPr="00615920" w:rsidRDefault="00B14898" w:rsidP="0073294B">
      <w:pPr>
        <w:rPr>
          <w:rFonts w:ascii="Arial" w:hAnsi="Arial" w:cs="Arial"/>
          <w:szCs w:val="40"/>
        </w:rPr>
      </w:pPr>
      <w:r w:rsidRPr="00615920">
        <w:rPr>
          <w:rFonts w:ascii="Arial" w:hAnsi="Arial" w:cs="Arial"/>
          <w:szCs w:val="40"/>
        </w:rPr>
        <w:t xml:space="preserve">There will be no </w:t>
      </w:r>
      <w:r w:rsidR="0073294B" w:rsidRPr="00615920">
        <w:rPr>
          <w:rFonts w:ascii="Arial" w:hAnsi="Arial" w:cs="Arial"/>
          <w:szCs w:val="40"/>
        </w:rPr>
        <w:t>use of tobacco</w:t>
      </w:r>
      <w:r w:rsidRPr="00615920">
        <w:rPr>
          <w:rFonts w:ascii="Arial" w:hAnsi="Arial" w:cs="Arial"/>
          <w:szCs w:val="40"/>
        </w:rPr>
        <w:t xml:space="preserve"> products in a vending facility.  T</w:t>
      </w:r>
      <w:r w:rsidR="0073294B" w:rsidRPr="00615920">
        <w:rPr>
          <w:rFonts w:ascii="Arial" w:hAnsi="Arial" w:cs="Arial"/>
          <w:szCs w:val="40"/>
        </w:rPr>
        <w:t>he presence or</w:t>
      </w:r>
      <w:r w:rsidRPr="00615920">
        <w:rPr>
          <w:rFonts w:ascii="Arial" w:hAnsi="Arial" w:cs="Arial"/>
          <w:szCs w:val="40"/>
        </w:rPr>
        <w:t xml:space="preserve"> use of alcoholi</w:t>
      </w:r>
      <w:r w:rsidR="0073294B" w:rsidRPr="00615920">
        <w:rPr>
          <w:rFonts w:ascii="Arial" w:hAnsi="Arial" w:cs="Arial"/>
          <w:szCs w:val="40"/>
        </w:rPr>
        <w:t>c beverage</w:t>
      </w:r>
      <w:r w:rsidR="007A6C86" w:rsidRPr="00615920">
        <w:rPr>
          <w:rFonts w:ascii="Arial" w:hAnsi="Arial" w:cs="Arial"/>
          <w:szCs w:val="40"/>
        </w:rPr>
        <w:t>s, controlled substances, and fir</w:t>
      </w:r>
      <w:r w:rsidR="0073294B" w:rsidRPr="00615920">
        <w:rPr>
          <w:rFonts w:ascii="Arial" w:hAnsi="Arial" w:cs="Arial"/>
          <w:szCs w:val="40"/>
        </w:rPr>
        <w:t>earms, including fireworks, in or on vending facility premises is prohibited, subject to the following exceptions:</w:t>
      </w:r>
    </w:p>
    <w:p w:rsidR="005213BC" w:rsidRPr="00615920" w:rsidRDefault="005213BC" w:rsidP="0073294B">
      <w:pPr>
        <w:rPr>
          <w:rFonts w:ascii="Arial" w:hAnsi="Arial" w:cs="Arial"/>
          <w:szCs w:val="40"/>
        </w:rPr>
      </w:pPr>
    </w:p>
    <w:p w:rsidR="0073294B" w:rsidRPr="00615920" w:rsidRDefault="005213BC" w:rsidP="005213BC">
      <w:pPr>
        <w:ind w:left="720" w:hanging="360"/>
        <w:rPr>
          <w:rFonts w:ascii="Arial" w:hAnsi="Arial" w:cs="Arial"/>
          <w:szCs w:val="40"/>
        </w:rPr>
      </w:pPr>
      <w:r w:rsidRPr="00615920">
        <w:rPr>
          <w:rFonts w:ascii="Arial" w:hAnsi="Arial" w:cs="Arial"/>
          <w:szCs w:val="40"/>
        </w:rPr>
        <w:t>1.</w:t>
      </w:r>
      <w:r w:rsidRPr="00615920">
        <w:rPr>
          <w:rFonts w:ascii="Arial" w:hAnsi="Arial" w:cs="Arial"/>
          <w:szCs w:val="40"/>
        </w:rPr>
        <w:tab/>
        <w:t>T</w:t>
      </w:r>
      <w:r w:rsidR="0073294B" w:rsidRPr="00615920">
        <w:rPr>
          <w:rFonts w:ascii="Arial" w:hAnsi="Arial" w:cs="Arial"/>
          <w:szCs w:val="40"/>
        </w:rPr>
        <w:t>he presence of use of alcoholic beverages authorized in the Operating Agreement</w:t>
      </w:r>
      <w:r w:rsidRPr="00615920">
        <w:rPr>
          <w:rFonts w:ascii="Arial" w:hAnsi="Arial" w:cs="Arial"/>
          <w:szCs w:val="40"/>
        </w:rPr>
        <w:t xml:space="preserve"> </w:t>
      </w:r>
      <w:r w:rsidR="0073294B" w:rsidRPr="00615920">
        <w:rPr>
          <w:rFonts w:ascii="Arial" w:hAnsi="Arial" w:cs="Arial"/>
          <w:szCs w:val="40"/>
        </w:rPr>
        <w:t>to operate a vending facility;</w:t>
      </w:r>
    </w:p>
    <w:p w:rsidR="005213BC" w:rsidRPr="00615920" w:rsidRDefault="005213BC" w:rsidP="0073294B">
      <w:pPr>
        <w:rPr>
          <w:rFonts w:ascii="Arial" w:hAnsi="Arial" w:cs="Arial"/>
          <w:szCs w:val="40"/>
        </w:rPr>
      </w:pPr>
    </w:p>
    <w:p w:rsidR="0073294B" w:rsidRPr="00615920" w:rsidRDefault="005213BC" w:rsidP="005213BC">
      <w:pPr>
        <w:ind w:left="720" w:hanging="360"/>
        <w:rPr>
          <w:rFonts w:ascii="Arial" w:hAnsi="Arial" w:cs="Arial"/>
          <w:szCs w:val="40"/>
        </w:rPr>
      </w:pPr>
      <w:r w:rsidRPr="00615920">
        <w:rPr>
          <w:rFonts w:ascii="Arial" w:hAnsi="Arial" w:cs="Arial"/>
          <w:szCs w:val="40"/>
        </w:rPr>
        <w:t>2.</w:t>
      </w:r>
      <w:r w:rsidRPr="00615920">
        <w:rPr>
          <w:rFonts w:ascii="Arial" w:hAnsi="Arial" w:cs="Arial"/>
          <w:szCs w:val="40"/>
        </w:rPr>
        <w:tab/>
        <w:t>T</w:t>
      </w:r>
      <w:r w:rsidR="0073294B" w:rsidRPr="00615920">
        <w:rPr>
          <w:rFonts w:ascii="Arial" w:hAnsi="Arial" w:cs="Arial"/>
          <w:szCs w:val="40"/>
        </w:rPr>
        <w:t xml:space="preserve">he presence of </w:t>
      </w:r>
      <w:proofErr w:type="gramStart"/>
      <w:r w:rsidR="0073294B" w:rsidRPr="00615920">
        <w:rPr>
          <w:rFonts w:ascii="Arial" w:hAnsi="Arial" w:cs="Arial"/>
          <w:szCs w:val="40"/>
        </w:rPr>
        <w:t>collectors</w:t>
      </w:r>
      <w:proofErr w:type="gramEnd"/>
      <w:r w:rsidR="0073294B" w:rsidRPr="00615920">
        <w:rPr>
          <w:rFonts w:ascii="Arial" w:hAnsi="Arial" w:cs="Arial"/>
          <w:szCs w:val="40"/>
        </w:rPr>
        <w:t xml:space="preserve"> items which, incident</w:t>
      </w:r>
      <w:r w:rsidR="007A6C86" w:rsidRPr="00615920">
        <w:rPr>
          <w:rFonts w:ascii="Arial" w:hAnsi="Arial" w:cs="Arial"/>
          <w:szCs w:val="40"/>
        </w:rPr>
        <w:t>al</w:t>
      </w:r>
      <w:r w:rsidR="0073294B" w:rsidRPr="00615920">
        <w:rPr>
          <w:rFonts w:ascii="Arial" w:hAnsi="Arial" w:cs="Arial"/>
          <w:szCs w:val="40"/>
        </w:rPr>
        <w:t>ly, contain an alcoholic beverage,</w:t>
      </w:r>
      <w:r w:rsidRPr="00615920">
        <w:rPr>
          <w:rFonts w:ascii="Arial" w:hAnsi="Arial" w:cs="Arial"/>
          <w:szCs w:val="40"/>
        </w:rPr>
        <w:t xml:space="preserve"> i</w:t>
      </w:r>
      <w:r w:rsidR="0073294B" w:rsidRPr="00615920">
        <w:rPr>
          <w:rFonts w:ascii="Arial" w:hAnsi="Arial" w:cs="Arial"/>
          <w:szCs w:val="40"/>
        </w:rPr>
        <w:t>s</w:t>
      </w:r>
      <w:r w:rsidR="007A6C86" w:rsidRPr="00615920">
        <w:rPr>
          <w:rFonts w:ascii="Arial" w:hAnsi="Arial" w:cs="Arial"/>
          <w:szCs w:val="40"/>
        </w:rPr>
        <w:t xml:space="preserve"> </w:t>
      </w:r>
      <w:r w:rsidR="0073294B" w:rsidRPr="00615920">
        <w:rPr>
          <w:rFonts w:ascii="Arial" w:hAnsi="Arial" w:cs="Arial"/>
          <w:szCs w:val="40"/>
        </w:rPr>
        <w:t>exempted so long as the container remains sealed;</w:t>
      </w:r>
      <w:r w:rsidRPr="00615920">
        <w:rPr>
          <w:rFonts w:ascii="Arial" w:hAnsi="Arial" w:cs="Arial"/>
          <w:szCs w:val="40"/>
        </w:rPr>
        <w:t xml:space="preserve"> and</w:t>
      </w:r>
    </w:p>
    <w:p w:rsidR="005213BC" w:rsidRPr="00615920" w:rsidRDefault="005213BC" w:rsidP="0073294B">
      <w:pPr>
        <w:rPr>
          <w:rFonts w:ascii="Arial" w:hAnsi="Arial" w:cs="Arial"/>
          <w:szCs w:val="40"/>
        </w:rPr>
      </w:pPr>
    </w:p>
    <w:p w:rsidR="0073294B" w:rsidRPr="00615920" w:rsidRDefault="005213BC" w:rsidP="0073294B">
      <w:pPr>
        <w:rPr>
          <w:rFonts w:ascii="Arial" w:hAnsi="Arial" w:cs="Arial"/>
          <w:szCs w:val="40"/>
        </w:rPr>
      </w:pPr>
      <w:r w:rsidRPr="00615920">
        <w:rPr>
          <w:rFonts w:ascii="Arial" w:hAnsi="Arial" w:cs="Arial"/>
          <w:szCs w:val="40"/>
        </w:rPr>
        <w:tab/>
        <w:t>3.</w:t>
      </w:r>
      <w:r w:rsidRPr="00615920">
        <w:rPr>
          <w:rFonts w:ascii="Arial" w:hAnsi="Arial" w:cs="Arial"/>
          <w:szCs w:val="40"/>
        </w:rPr>
        <w:tab/>
        <w:t>T</w:t>
      </w:r>
      <w:r w:rsidR="007A6C86" w:rsidRPr="00615920">
        <w:rPr>
          <w:rFonts w:ascii="Arial" w:hAnsi="Arial" w:cs="Arial"/>
          <w:szCs w:val="40"/>
        </w:rPr>
        <w:t>he presence of a firearm</w:t>
      </w:r>
      <w:r w:rsidR="0073294B" w:rsidRPr="00615920">
        <w:rPr>
          <w:rFonts w:ascii="Arial" w:hAnsi="Arial" w:cs="Arial"/>
          <w:szCs w:val="40"/>
        </w:rPr>
        <w:t>(s) which is in custody and control of a peace officer.</w:t>
      </w:r>
    </w:p>
    <w:p w:rsidR="00B14898" w:rsidRPr="00615920" w:rsidRDefault="00B14898" w:rsidP="0073294B">
      <w:pPr>
        <w:rPr>
          <w:rFonts w:ascii="Arial" w:hAnsi="Arial" w:cs="Arial"/>
          <w:szCs w:val="40"/>
        </w:rPr>
      </w:pPr>
    </w:p>
    <w:sectPr w:rsidR="00B14898" w:rsidRPr="00615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84" w:rsidRDefault="004F7184">
      <w:r>
        <w:separator/>
      </w:r>
    </w:p>
  </w:endnote>
  <w:endnote w:type="continuationSeparator" w:id="0">
    <w:p w:rsidR="004F7184" w:rsidRDefault="004F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AC" w:rsidRDefault="00561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641"/>
      <w:gridCol w:w="2611"/>
    </w:tblGrid>
    <w:tr w:rsidR="004F1833">
      <w:tblPrEx>
        <w:tblCellMar>
          <w:top w:w="0" w:type="dxa"/>
          <w:bottom w:w="0" w:type="dxa"/>
        </w:tblCellMar>
      </w:tblPrEx>
      <w:tc>
        <w:tcPr>
          <w:tcW w:w="6720" w:type="dxa"/>
          <w:tcBorders>
            <w:top w:val="single" w:sz="12" w:space="0" w:color="auto"/>
          </w:tcBorders>
        </w:tcPr>
        <w:p w:rsidR="004F1833" w:rsidRDefault="00D32FBC">
          <w:pPr>
            <w:pStyle w:val="Foo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4.3 </w:t>
          </w:r>
          <w:r w:rsidR="005213BC">
            <w:rPr>
              <w:rFonts w:ascii="Arial" w:hAnsi="Arial" w:cs="Arial"/>
              <w:b/>
              <w:bCs/>
            </w:rPr>
            <w:t>BEN Controlled Substances</w:t>
          </w:r>
        </w:p>
      </w:tc>
      <w:tc>
        <w:tcPr>
          <w:tcW w:w="2640" w:type="dxa"/>
          <w:tcBorders>
            <w:top w:val="single" w:sz="12" w:space="0" w:color="auto"/>
          </w:tcBorders>
        </w:tcPr>
        <w:p w:rsidR="004F1833" w:rsidRDefault="004F1833">
          <w:pPr>
            <w:pStyle w:val="Foot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E6022B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E6022B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</w:tbl>
  <w:p w:rsidR="004F1833" w:rsidRDefault="005619AC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object w:dxaOrig="9489" w:dyaOrig="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4.6pt;height:19pt">
          <v:imagedata r:id="rId1" o:title=""/>
        </v:shape>
        <o:OLEObject Type="Link" ProgID="Excel.Sheet.12" ShapeID="_x0000_i1026" DrawAspect="Content" r:id="rId2" UpdateMode="Always">
          <o:LinkType>EnhancedMetaFile</o:LinkType>
          <o:LockedField>false</o:LockedField>
        </o:OLEObject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AC" w:rsidRDefault="00561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84" w:rsidRDefault="004F7184">
      <w:r>
        <w:separator/>
      </w:r>
    </w:p>
  </w:footnote>
  <w:footnote w:type="continuationSeparator" w:id="0">
    <w:p w:rsidR="004F7184" w:rsidRDefault="004F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AC" w:rsidRDefault="00561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2628"/>
    </w:tblGrid>
    <w:tr w:rsidR="004F1833">
      <w:tblPrEx>
        <w:tblCellMar>
          <w:top w:w="0" w:type="dxa"/>
          <w:bottom w:w="0" w:type="dxa"/>
        </w:tblCellMar>
      </w:tblPrEx>
      <w:tc>
        <w:tcPr>
          <w:tcW w:w="6840" w:type="dxa"/>
        </w:tcPr>
        <w:p w:rsidR="004F1833" w:rsidRPr="00E6022B" w:rsidRDefault="004F1833">
          <w:pPr>
            <w:pStyle w:val="Header"/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6022B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REHABILITATION DIVISION</w:t>
          </w:r>
          <w:r w:rsidRPr="00E6022B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E6022B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p>
        <w:p w:rsidR="004F1833" w:rsidRDefault="005213BC">
          <w:pPr>
            <w:pStyle w:val="Head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GENERAL ADMINISTRATIVE MANUAL</w:t>
          </w:r>
        </w:p>
        <w:p w:rsidR="004F1833" w:rsidRPr="00664033" w:rsidRDefault="00D32FBC">
          <w:pPr>
            <w:pStyle w:val="Head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4.3 </w:t>
          </w:r>
          <w:r w:rsidR="005213BC">
            <w:rPr>
              <w:rFonts w:ascii="Arial" w:hAnsi="Arial"/>
              <w:b/>
              <w:sz w:val="28"/>
            </w:rPr>
            <w:t>BEN Controlled Substances</w:t>
          </w:r>
        </w:p>
      </w:tc>
      <w:tc>
        <w:tcPr>
          <w:tcW w:w="2628" w:type="dxa"/>
        </w:tcPr>
        <w:p w:rsidR="004F1833" w:rsidRDefault="00E6022B">
          <w:pPr>
            <w:pStyle w:val="Header"/>
            <w:jc w:val="center"/>
          </w:pPr>
          <w:r w:rsidRPr="00E6022B">
            <w:rPr>
              <w:rFonts w:ascii="Arial" w:hAnsi="Arial" w:cs="Arial"/>
              <w:b/>
              <w:bCs/>
              <w:noProof/>
              <w:sz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821180" cy="746125"/>
                <wp:effectExtent l="0" t="0" r="0" b="0"/>
                <wp:docPr id="1" name="Picture 1" descr="DETR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TR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833" w:rsidRDefault="004F1833">
    <w:pPr>
      <w:pStyle w:val="Header"/>
    </w:pPr>
  </w:p>
  <w:p w:rsidR="004F1833" w:rsidRDefault="004F1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AC" w:rsidRDefault="00561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33B"/>
    <w:multiLevelType w:val="hybridMultilevel"/>
    <w:tmpl w:val="96AE350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B1188"/>
    <w:multiLevelType w:val="hybridMultilevel"/>
    <w:tmpl w:val="9F120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286A17"/>
    <w:multiLevelType w:val="hybridMultilevel"/>
    <w:tmpl w:val="11EAAE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26CC7"/>
    <w:multiLevelType w:val="hybridMultilevel"/>
    <w:tmpl w:val="A59E2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C6968"/>
    <w:multiLevelType w:val="hybridMultilevel"/>
    <w:tmpl w:val="8A28ABD0"/>
    <w:lvl w:ilvl="0" w:tplc="8604D840">
      <w:start w:val="1"/>
      <w:numFmt w:val="lowerLetter"/>
      <w:lvlText w:val="(%1)"/>
      <w:lvlJc w:val="left"/>
      <w:pPr>
        <w:tabs>
          <w:tab w:val="num" w:pos="1565"/>
        </w:tabs>
        <w:ind w:left="1565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5" w15:restartNumberingAfterBreak="0">
    <w:nsid w:val="7E1C571A"/>
    <w:multiLevelType w:val="hybridMultilevel"/>
    <w:tmpl w:val="526A0922"/>
    <w:lvl w:ilvl="0" w:tplc="66F41C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3"/>
    <w:rsid w:val="00021D3A"/>
    <w:rsid w:val="000E0CF0"/>
    <w:rsid w:val="00100970"/>
    <w:rsid w:val="0020703E"/>
    <w:rsid w:val="00214C47"/>
    <w:rsid w:val="00260496"/>
    <w:rsid w:val="00261FE9"/>
    <w:rsid w:val="00323385"/>
    <w:rsid w:val="003C2C53"/>
    <w:rsid w:val="004F1833"/>
    <w:rsid w:val="004F7184"/>
    <w:rsid w:val="005213BC"/>
    <w:rsid w:val="005619AC"/>
    <w:rsid w:val="00615920"/>
    <w:rsid w:val="0062409A"/>
    <w:rsid w:val="00664033"/>
    <w:rsid w:val="0073294B"/>
    <w:rsid w:val="007A6C86"/>
    <w:rsid w:val="00844DD6"/>
    <w:rsid w:val="00895F9A"/>
    <w:rsid w:val="00927A56"/>
    <w:rsid w:val="009316A5"/>
    <w:rsid w:val="009B7ACB"/>
    <w:rsid w:val="00AF3CB0"/>
    <w:rsid w:val="00B14898"/>
    <w:rsid w:val="00B27DF6"/>
    <w:rsid w:val="00B44B42"/>
    <w:rsid w:val="00B70C34"/>
    <w:rsid w:val="00BB5655"/>
    <w:rsid w:val="00C7179A"/>
    <w:rsid w:val="00D32FBC"/>
    <w:rsid w:val="00D33FFA"/>
    <w:rsid w:val="00DD64B8"/>
    <w:rsid w:val="00E27CF4"/>
    <w:rsid w:val="00E6022B"/>
    <w:rsid w:val="00FB2543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0189F18-C58F-449F-9361-22025793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empty">
    <w:name w:val="empty"/>
    <w:rPr>
      <w:rFonts w:ascii="Times New Roman" w:hAnsi="Times New Roman" w:cs="Times New Roman" w:hint="default"/>
      <w:b/>
      <w:bCs/>
      <w:color w:val="auto"/>
    </w:rPr>
  </w:style>
  <w:style w:type="paragraph" w:customStyle="1" w:styleId="sectbody">
    <w:name w:val="sectbody"/>
    <w:basedOn w:val="Normal"/>
    <w:pPr>
      <w:spacing w:line="200" w:lineRule="atLeast"/>
      <w:jc w:val="both"/>
    </w:pPr>
    <w:rPr>
      <w:rFonts w:eastAsia="Arial Unicode MS"/>
      <w:sz w:val="20"/>
      <w:szCs w:val="20"/>
    </w:rPr>
  </w:style>
  <w:style w:type="paragraph" w:customStyle="1" w:styleId="sourcenote">
    <w:name w:val="sourcenote"/>
    <w:basedOn w:val="Normal"/>
    <w:pPr>
      <w:spacing w:after="200" w:line="200" w:lineRule="atLeast"/>
      <w:jc w:val="both"/>
    </w:pPr>
    <w:rPr>
      <w:rFonts w:eastAsia="Arial Unicode MS"/>
      <w:sz w:val="20"/>
      <w:szCs w:val="20"/>
    </w:rPr>
  </w:style>
  <w:style w:type="character" w:customStyle="1" w:styleId="leadline">
    <w:name w:val="leadline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Pr>
      <w:rFonts w:ascii="Times New Roman" w:hAnsi="Times New Roman" w:cs="Times New Roman" w:hint="default"/>
      <w:b/>
      <w:bCs/>
      <w:color w:val="auto"/>
    </w:rPr>
  </w:style>
  <w:style w:type="paragraph" w:styleId="BodyTextIndent2">
    <w:name w:val="Body Text Indent 2"/>
    <w:basedOn w:val="Normal"/>
    <w:pPr>
      <w:ind w:left="835"/>
    </w:pPr>
    <w:rPr>
      <w:rFonts w:ascii="Arial" w:hAnsi="Arial"/>
      <w:spacing w:val="-5"/>
      <w:sz w:val="22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5" w:hanging="605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52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urryfiles\shares\Rehab\General_Administrative_Procedures_Manual\GAP%20Version%20&amp;%20Date%20for%20Footers.xlsx!Version%20%23%20&amp;%20Date!R1C1:R1C3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of the Bureaus and Programs of the Rehabilitation Division are to be provided to eligible individuals without discrim</vt:lpstr>
    </vt:vector>
  </TitlesOfParts>
  <Company>DETR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of the Bureaus and Programs of the Rehabilitation Division are to be provided to eligible individuals without discrim</dc:title>
  <dc:subject/>
  <dc:creator>hljohnson</dc:creator>
  <cp:keywords/>
  <cp:lastModifiedBy>Sheila Rasor</cp:lastModifiedBy>
  <cp:revision>2</cp:revision>
  <cp:lastPrinted>2015-11-24T21:56:00Z</cp:lastPrinted>
  <dcterms:created xsi:type="dcterms:W3CDTF">2019-11-01T18:09:00Z</dcterms:created>
  <dcterms:modified xsi:type="dcterms:W3CDTF">2019-11-01T18:09:00Z</dcterms:modified>
</cp:coreProperties>
</file>