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B9" w:rsidRPr="002B0133" w:rsidRDefault="00D972B9" w:rsidP="00DD64B8">
      <w:pPr>
        <w:rPr>
          <w:rFonts w:ascii="Arial" w:hAnsi="Arial"/>
          <w:b/>
          <w:u w:val="single"/>
        </w:rPr>
      </w:pPr>
      <w:r w:rsidRPr="002B0133">
        <w:rPr>
          <w:rFonts w:ascii="Arial" w:hAnsi="Arial"/>
          <w:b/>
          <w:u w:val="single"/>
        </w:rPr>
        <w:t>Policy</w:t>
      </w:r>
    </w:p>
    <w:p w:rsidR="00D972B9" w:rsidRDefault="00D972B9" w:rsidP="00DD64B8">
      <w:pPr>
        <w:rPr>
          <w:rFonts w:ascii="Arial" w:hAnsi="Arial"/>
          <w:b/>
          <w:u w:val="single"/>
        </w:rPr>
      </w:pPr>
    </w:p>
    <w:p w:rsidR="00BC23AF" w:rsidRDefault="00D972B9" w:rsidP="00DD64B8">
      <w:pPr>
        <w:rPr>
          <w:rFonts w:ascii="Arial" w:hAnsi="Arial"/>
        </w:rPr>
      </w:pPr>
      <w:r>
        <w:rPr>
          <w:rFonts w:ascii="Arial" w:hAnsi="Arial"/>
        </w:rPr>
        <w:t>P</w:t>
      </w:r>
      <w:r w:rsidR="00BC23AF">
        <w:rPr>
          <w:rFonts w:ascii="Arial" w:hAnsi="Arial"/>
        </w:rPr>
        <w:t>ursuant to the consensus of the Nevada Committee of Blind Vendors, the above cited agency is establishing this policy to provide fair and equitable treatment and additional income generating opportunities to all blind vendors.  This policy related to the bidding process under which new and/or existing vending facilities</w:t>
      </w:r>
      <w:r w:rsidR="007C3299">
        <w:rPr>
          <w:rFonts w:ascii="Arial" w:hAnsi="Arial"/>
        </w:rPr>
        <w:t xml:space="preserve"> are awarded.  Existing “</w:t>
      </w:r>
      <w:r>
        <w:rPr>
          <w:rFonts w:ascii="Arial" w:hAnsi="Arial"/>
        </w:rPr>
        <w:t>a</w:t>
      </w:r>
      <w:r w:rsidR="007C3299">
        <w:rPr>
          <w:rFonts w:ascii="Arial" w:hAnsi="Arial"/>
        </w:rPr>
        <w:t>uxiliary</w:t>
      </w:r>
      <w:r w:rsidR="00BC23AF">
        <w:rPr>
          <w:rFonts w:ascii="Arial" w:hAnsi="Arial"/>
        </w:rPr>
        <w:t>” vending facilities as delineated in an Operating Agreement are not affected by this policy.</w:t>
      </w:r>
    </w:p>
    <w:p w:rsidR="00BC23AF" w:rsidRDefault="00BC23AF" w:rsidP="00DD64B8">
      <w:pPr>
        <w:rPr>
          <w:rFonts w:ascii="Arial" w:hAnsi="Arial"/>
        </w:rPr>
      </w:pPr>
    </w:p>
    <w:p w:rsidR="00D972B9" w:rsidRPr="002B0133" w:rsidRDefault="00D972B9" w:rsidP="00DD64B8">
      <w:pPr>
        <w:rPr>
          <w:rFonts w:ascii="Arial" w:hAnsi="Arial"/>
          <w:b/>
          <w:u w:val="single"/>
        </w:rPr>
      </w:pPr>
      <w:r w:rsidRPr="002B0133">
        <w:rPr>
          <w:rFonts w:ascii="Arial" w:hAnsi="Arial"/>
          <w:b/>
          <w:u w:val="single"/>
        </w:rPr>
        <w:t>Definitions</w:t>
      </w:r>
    </w:p>
    <w:p w:rsidR="00D972B9" w:rsidRDefault="00D972B9" w:rsidP="00DD64B8">
      <w:pPr>
        <w:rPr>
          <w:rFonts w:ascii="Arial" w:hAnsi="Arial"/>
          <w:u w:val="single"/>
        </w:rPr>
      </w:pPr>
    </w:p>
    <w:p w:rsidR="00BC23AF" w:rsidRDefault="00BC23AF" w:rsidP="00DD64B8">
      <w:pPr>
        <w:rPr>
          <w:rFonts w:ascii="Arial" w:hAnsi="Arial"/>
        </w:rPr>
      </w:pPr>
      <w:r>
        <w:rPr>
          <w:rFonts w:ascii="Arial" w:hAnsi="Arial"/>
        </w:rPr>
        <w:t xml:space="preserve">For the purposes of this policy, a vending facility </w:t>
      </w:r>
      <w:r w:rsidR="007C3299">
        <w:rPr>
          <w:rFonts w:ascii="Arial" w:hAnsi="Arial"/>
        </w:rPr>
        <w:t>or a vending route is defined as a</w:t>
      </w:r>
      <w:r>
        <w:rPr>
          <w:rFonts w:ascii="Arial" w:hAnsi="Arial"/>
        </w:rPr>
        <w:t xml:space="preserve"> business opportunity for which a monthly Profit and Loss Statement must be filed pursuant </w:t>
      </w:r>
      <w:r w:rsidR="007C3299">
        <w:rPr>
          <w:rFonts w:ascii="Arial" w:hAnsi="Arial"/>
        </w:rPr>
        <w:t>to NAC 426.223 and for which a</w:t>
      </w:r>
      <w:r>
        <w:rPr>
          <w:rFonts w:ascii="Arial" w:hAnsi="Arial"/>
        </w:rPr>
        <w:t xml:space="preserve"> blind vendor has entered into an Operating Agreement with the bureau as described in NAC 426.180.  An Operating Agreement awarded on an interim basis is included for the purposes of this policy.  A vending facility </w:t>
      </w:r>
      <w:r w:rsidR="007C3299">
        <w:rPr>
          <w:rFonts w:ascii="Arial" w:hAnsi="Arial"/>
        </w:rPr>
        <w:t xml:space="preserve">or a vending route </w:t>
      </w:r>
      <w:r>
        <w:rPr>
          <w:rFonts w:ascii="Arial" w:hAnsi="Arial"/>
        </w:rPr>
        <w:t xml:space="preserve">may be operational on a </w:t>
      </w:r>
      <w:proofErr w:type="gramStart"/>
      <w:r>
        <w:rPr>
          <w:rFonts w:ascii="Arial" w:hAnsi="Arial"/>
        </w:rPr>
        <w:t>year round</w:t>
      </w:r>
      <w:proofErr w:type="gramEnd"/>
      <w:r>
        <w:rPr>
          <w:rFonts w:ascii="Arial" w:hAnsi="Arial"/>
        </w:rPr>
        <w:t xml:space="preserve"> or seasonal basis.</w:t>
      </w:r>
    </w:p>
    <w:p w:rsidR="00D972B9" w:rsidRDefault="00D972B9" w:rsidP="00DD64B8">
      <w:pPr>
        <w:rPr>
          <w:rFonts w:ascii="Arial" w:hAnsi="Arial"/>
        </w:rPr>
      </w:pPr>
    </w:p>
    <w:p w:rsidR="00D972B9" w:rsidRPr="002B0133" w:rsidRDefault="00D972B9" w:rsidP="00DD64B8">
      <w:pPr>
        <w:rPr>
          <w:rFonts w:ascii="Arial" w:hAnsi="Arial"/>
          <w:b/>
          <w:u w:val="single"/>
        </w:rPr>
      </w:pPr>
      <w:r w:rsidRPr="002B0133">
        <w:rPr>
          <w:rFonts w:ascii="Arial" w:hAnsi="Arial"/>
          <w:b/>
          <w:u w:val="single"/>
        </w:rPr>
        <w:t>Statement</w:t>
      </w:r>
    </w:p>
    <w:p w:rsidR="00BC23AF" w:rsidRDefault="00BC23AF" w:rsidP="00DD64B8">
      <w:pPr>
        <w:rPr>
          <w:rFonts w:ascii="Arial" w:hAnsi="Arial"/>
        </w:rPr>
      </w:pPr>
    </w:p>
    <w:p w:rsidR="00BC23AF" w:rsidRDefault="00BC23AF" w:rsidP="00DD64B8">
      <w:pPr>
        <w:rPr>
          <w:rFonts w:ascii="Arial" w:hAnsi="Arial"/>
        </w:rPr>
      </w:pPr>
      <w:proofErr w:type="gramStart"/>
      <w:r>
        <w:rPr>
          <w:rFonts w:ascii="Arial" w:hAnsi="Arial"/>
        </w:rPr>
        <w:t>In order to</w:t>
      </w:r>
      <w:proofErr w:type="gramEnd"/>
      <w:r>
        <w:rPr>
          <w:rFonts w:ascii="Arial" w:hAnsi="Arial"/>
        </w:rPr>
        <w:t xml:space="preserve"> ensure </w:t>
      </w:r>
      <w:r w:rsidR="007C3299">
        <w:rPr>
          <w:rFonts w:ascii="Arial" w:hAnsi="Arial"/>
        </w:rPr>
        <w:t>that every licensed Busin</w:t>
      </w:r>
      <w:r w:rsidR="00773734">
        <w:rPr>
          <w:rFonts w:ascii="Arial" w:hAnsi="Arial"/>
        </w:rPr>
        <w:t>ess Enterprise of Nevada (BEN) O</w:t>
      </w:r>
      <w:r w:rsidR="007C3299">
        <w:rPr>
          <w:rFonts w:ascii="Arial" w:hAnsi="Arial"/>
        </w:rPr>
        <w:t>perator</w:t>
      </w:r>
      <w:r>
        <w:rPr>
          <w:rFonts w:ascii="Arial" w:hAnsi="Arial"/>
        </w:rPr>
        <w:t xml:space="preserve"> is afforded fair and equitable treatment and the opportunity to earn additional i</w:t>
      </w:r>
      <w:r w:rsidR="007C3299">
        <w:rPr>
          <w:rFonts w:ascii="Arial" w:hAnsi="Arial"/>
        </w:rPr>
        <w:t xml:space="preserve">ncome, any licensed </w:t>
      </w:r>
      <w:r w:rsidR="00773734">
        <w:rPr>
          <w:rFonts w:ascii="Arial" w:hAnsi="Arial"/>
        </w:rPr>
        <w:t>Ben O</w:t>
      </w:r>
      <w:r w:rsidR="007C3299">
        <w:rPr>
          <w:rFonts w:ascii="Arial" w:hAnsi="Arial"/>
        </w:rPr>
        <w:t>perator</w:t>
      </w:r>
      <w:r>
        <w:rPr>
          <w:rFonts w:ascii="Arial" w:hAnsi="Arial"/>
        </w:rPr>
        <w:t xml:space="preserve"> who is operating two or more vending facilities as defined above, will be precluded from bidding on any new or existing facility unless:</w:t>
      </w:r>
    </w:p>
    <w:p w:rsidR="00D972B9" w:rsidRDefault="00D972B9" w:rsidP="00DD64B8">
      <w:pPr>
        <w:rPr>
          <w:rFonts w:ascii="Arial" w:hAnsi="Arial"/>
        </w:rPr>
      </w:pPr>
    </w:p>
    <w:p w:rsidR="00BC23AF" w:rsidRDefault="00D972B9" w:rsidP="00D972B9">
      <w:pPr>
        <w:rPr>
          <w:rFonts w:ascii="Arial" w:hAnsi="Arial"/>
        </w:rPr>
      </w:pPr>
      <w:r>
        <w:rPr>
          <w:rFonts w:ascii="Arial" w:hAnsi="Arial"/>
        </w:rPr>
        <w:tab/>
        <w:t>1.</w:t>
      </w:r>
      <w:r>
        <w:rPr>
          <w:rFonts w:ascii="Arial" w:hAnsi="Arial"/>
        </w:rPr>
        <w:tab/>
        <w:t>N</w:t>
      </w:r>
      <w:r w:rsidR="007C3299">
        <w:rPr>
          <w:rFonts w:ascii="Arial" w:hAnsi="Arial"/>
        </w:rPr>
        <w:t>o</w:t>
      </w:r>
      <w:r w:rsidR="00BC23AF">
        <w:rPr>
          <w:rFonts w:ascii="Arial" w:hAnsi="Arial"/>
        </w:rPr>
        <w:t xml:space="preserve"> eligible licensed </w:t>
      </w:r>
      <w:r w:rsidR="007C3299">
        <w:rPr>
          <w:rFonts w:ascii="Arial" w:hAnsi="Arial"/>
        </w:rPr>
        <w:t>BEN operator</w:t>
      </w:r>
      <w:r w:rsidR="00BC23AF">
        <w:rPr>
          <w:rFonts w:ascii="Arial" w:hAnsi="Arial"/>
        </w:rPr>
        <w:t xml:space="preserve"> submits a </w:t>
      </w:r>
      <w:r w:rsidR="007C3299">
        <w:rPr>
          <w:rFonts w:ascii="Arial" w:hAnsi="Arial"/>
        </w:rPr>
        <w:t xml:space="preserve">qualifying </w:t>
      </w:r>
      <w:r w:rsidR="00BC23AF">
        <w:rPr>
          <w:rFonts w:ascii="Arial" w:hAnsi="Arial"/>
        </w:rPr>
        <w:t>bid for the facility; or</w:t>
      </w:r>
    </w:p>
    <w:p w:rsidR="00D972B9" w:rsidRDefault="00D972B9" w:rsidP="00D972B9">
      <w:pPr>
        <w:rPr>
          <w:rFonts w:ascii="Arial" w:hAnsi="Arial"/>
        </w:rPr>
      </w:pPr>
    </w:p>
    <w:p w:rsidR="00BC23AF" w:rsidRDefault="00D972B9" w:rsidP="00D972B9">
      <w:pPr>
        <w:ind w:left="720" w:hanging="360"/>
        <w:rPr>
          <w:rFonts w:ascii="Arial" w:hAnsi="Arial"/>
        </w:rPr>
      </w:pPr>
      <w:r>
        <w:rPr>
          <w:rFonts w:ascii="Arial" w:hAnsi="Arial"/>
        </w:rPr>
        <w:t>2.</w:t>
      </w:r>
      <w:r>
        <w:rPr>
          <w:rFonts w:ascii="Arial" w:hAnsi="Arial"/>
        </w:rPr>
        <w:tab/>
        <w:t>T</w:t>
      </w:r>
      <w:r w:rsidR="00BC23AF">
        <w:rPr>
          <w:rFonts w:ascii="Arial" w:hAnsi="Arial"/>
        </w:rPr>
        <w:t xml:space="preserve">he blind vendor who is currently operating two or more vending facilities agrees to surrender existing locations to bring the total number of facilities </w:t>
      </w:r>
      <w:r w:rsidR="007C3299">
        <w:rPr>
          <w:rFonts w:ascii="Arial" w:hAnsi="Arial"/>
        </w:rPr>
        <w:t xml:space="preserve">or vending route </w:t>
      </w:r>
      <w:r w:rsidR="00BC23AF">
        <w:rPr>
          <w:rFonts w:ascii="Arial" w:hAnsi="Arial"/>
        </w:rPr>
        <w:t>under his management to two.</w:t>
      </w:r>
    </w:p>
    <w:p w:rsidR="00D972B9" w:rsidRDefault="00D972B9" w:rsidP="00D972B9">
      <w:pPr>
        <w:ind w:left="720" w:hanging="360"/>
        <w:rPr>
          <w:rFonts w:ascii="Arial" w:hAnsi="Arial"/>
        </w:rPr>
      </w:pPr>
    </w:p>
    <w:p w:rsidR="00773734" w:rsidRDefault="00D972B9" w:rsidP="00773734">
      <w:pPr>
        <w:ind w:left="720" w:hanging="360"/>
        <w:rPr>
          <w:rFonts w:ascii="Arial" w:hAnsi="Arial"/>
        </w:rPr>
      </w:pPr>
      <w:r>
        <w:rPr>
          <w:rFonts w:ascii="Arial" w:hAnsi="Arial"/>
        </w:rPr>
        <w:t>3.</w:t>
      </w:r>
      <w:r>
        <w:rPr>
          <w:rFonts w:ascii="Arial" w:hAnsi="Arial"/>
        </w:rPr>
        <w:tab/>
        <w:t>T</w:t>
      </w:r>
      <w:r w:rsidR="00773734">
        <w:rPr>
          <w:rFonts w:ascii="Arial" w:hAnsi="Arial"/>
        </w:rPr>
        <w:t>he Administrator or designee determines that there are extenuating circumstances that would create a hardship to the BEN Program if the Operator is required to surrender an existing location(s).</w:t>
      </w:r>
    </w:p>
    <w:p w:rsidR="00BC23AF" w:rsidRPr="00BC23AF" w:rsidRDefault="00BC23AF" w:rsidP="00DD64B8">
      <w:pPr>
        <w:rPr>
          <w:rFonts w:ascii="Arial" w:hAnsi="Arial"/>
        </w:rPr>
      </w:pPr>
    </w:p>
    <w:sectPr w:rsidR="00BC23AF" w:rsidRPr="00BC23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1B" w:rsidRDefault="009D6A1B">
      <w:r>
        <w:separator/>
      </w:r>
    </w:p>
  </w:endnote>
  <w:endnote w:type="continuationSeparator" w:id="0">
    <w:p w:rsidR="009D6A1B" w:rsidRDefault="009D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33" w:rsidRDefault="004F1833">
    <w:pPr>
      <w:pStyle w:val="Header"/>
      <w:tabs>
        <w:tab w:val="clear" w:pos="4320"/>
        <w:tab w:val="clear" w:pos="8640"/>
      </w:tabs>
    </w:pPr>
  </w:p>
  <w:tbl>
    <w:tblPr>
      <w:tblW w:w="0" w:type="auto"/>
      <w:tblInd w:w="108" w:type="dxa"/>
      <w:tblLook w:val="0000" w:firstRow="0" w:lastRow="0" w:firstColumn="0" w:lastColumn="0" w:noHBand="0" w:noVBand="0"/>
    </w:tblPr>
    <w:tblGrid>
      <w:gridCol w:w="6639"/>
      <w:gridCol w:w="2613"/>
    </w:tblGrid>
    <w:tr w:rsidR="004F1833">
      <w:tblPrEx>
        <w:tblCellMar>
          <w:top w:w="0" w:type="dxa"/>
          <w:bottom w:w="0" w:type="dxa"/>
        </w:tblCellMar>
      </w:tblPrEx>
      <w:tc>
        <w:tcPr>
          <w:tcW w:w="6720" w:type="dxa"/>
          <w:tcBorders>
            <w:top w:val="single" w:sz="12" w:space="0" w:color="auto"/>
          </w:tcBorders>
        </w:tcPr>
        <w:p w:rsidR="004F1833" w:rsidRDefault="002B0133">
          <w:pPr>
            <w:pStyle w:val="Footer"/>
            <w:rPr>
              <w:rFonts w:ascii="Arial" w:hAnsi="Arial" w:cs="Arial"/>
              <w:b/>
              <w:bCs/>
            </w:rPr>
          </w:pPr>
          <w:bookmarkStart w:id="0" w:name="_GoBack" w:colFirst="0" w:colLast="2"/>
          <w:r>
            <w:rPr>
              <w:rFonts w:ascii="Arial" w:hAnsi="Arial" w:cs="Arial"/>
              <w:b/>
              <w:bCs/>
            </w:rPr>
            <w:t xml:space="preserve">4.2 </w:t>
          </w:r>
          <w:r w:rsidR="00D972B9">
            <w:rPr>
              <w:rFonts w:ascii="Arial" w:hAnsi="Arial" w:cs="Arial"/>
              <w:b/>
              <w:bCs/>
            </w:rPr>
            <w:t>BEN Bidding Process</w:t>
          </w:r>
        </w:p>
      </w:tc>
      <w:tc>
        <w:tcPr>
          <w:tcW w:w="2640" w:type="dxa"/>
          <w:tcBorders>
            <w:top w:val="single" w:sz="12" w:space="0" w:color="auto"/>
          </w:tcBorders>
        </w:tcPr>
        <w:p w:rsidR="004F1833" w:rsidRDefault="004F1833">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157236">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157236">
            <w:rPr>
              <w:rStyle w:val="PageNumber"/>
              <w:rFonts w:ascii="Arial" w:hAnsi="Arial" w:cs="Arial"/>
              <w:b/>
              <w:bCs/>
              <w:noProof/>
            </w:rPr>
            <w:t>1</w:t>
          </w:r>
          <w:r>
            <w:rPr>
              <w:rStyle w:val="PageNumber"/>
              <w:rFonts w:ascii="Arial" w:hAnsi="Arial" w:cs="Arial"/>
              <w:b/>
              <w:bCs/>
            </w:rPr>
            <w:fldChar w:fldCharType="end"/>
          </w:r>
        </w:p>
      </w:tc>
    </w:tr>
  </w:tbl>
  <w:bookmarkEnd w:id="0"/>
  <w:p w:rsidR="004F1833" w:rsidRDefault="00A132B9">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1B" w:rsidRDefault="009D6A1B">
      <w:r>
        <w:separator/>
      </w:r>
    </w:p>
  </w:footnote>
  <w:footnote w:type="continuationSeparator" w:id="0">
    <w:p w:rsidR="009D6A1B" w:rsidRDefault="009D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4F1833">
      <w:tblPrEx>
        <w:tblCellMar>
          <w:top w:w="0" w:type="dxa"/>
          <w:bottom w:w="0" w:type="dxa"/>
        </w:tblCellMar>
      </w:tblPrEx>
      <w:tc>
        <w:tcPr>
          <w:tcW w:w="6840" w:type="dxa"/>
        </w:tcPr>
        <w:p w:rsidR="004F1833" w:rsidRPr="00157236" w:rsidRDefault="004F1833">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157236">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157236">
            <w:rPr>
              <w:rFonts w:ascii="Arial" w:hAnsi="Arial" w:cs="Arial"/>
              <w:b/>
              <w:bCs/>
              <w:sz w:val="36"/>
              <w14:shadow w14:blurRad="50800" w14:dist="38100" w14:dir="2700000" w14:sx="100000" w14:sy="100000" w14:kx="0" w14:ky="0" w14:algn="tl">
                <w14:srgbClr w14:val="000000">
                  <w14:alpha w14:val="60000"/>
                </w14:srgbClr>
              </w14:shadow>
            </w:rPr>
            <w:tab/>
          </w:r>
          <w:r w:rsidRPr="00157236">
            <w:rPr>
              <w:rFonts w:ascii="Arial" w:hAnsi="Arial" w:cs="Arial"/>
              <w:b/>
              <w:bCs/>
              <w:sz w:val="36"/>
              <w14:shadow w14:blurRad="50800" w14:dist="38100" w14:dir="2700000" w14:sx="100000" w14:sy="100000" w14:kx="0" w14:ky="0" w14:algn="tl">
                <w14:srgbClr w14:val="000000">
                  <w14:alpha w14:val="60000"/>
                </w14:srgbClr>
              </w14:shadow>
            </w:rPr>
            <w:tab/>
          </w:r>
        </w:p>
        <w:p w:rsidR="004F1833" w:rsidRDefault="00D972B9">
          <w:pPr>
            <w:pStyle w:val="Header"/>
            <w:rPr>
              <w:rFonts w:ascii="Arial" w:hAnsi="Arial" w:cs="Arial"/>
              <w:b/>
              <w:bCs/>
              <w:sz w:val="32"/>
            </w:rPr>
          </w:pPr>
          <w:r>
            <w:rPr>
              <w:rFonts w:ascii="Arial" w:hAnsi="Arial" w:cs="Arial"/>
              <w:b/>
              <w:bCs/>
              <w:sz w:val="32"/>
            </w:rPr>
            <w:t>GENERAL ADMINISTRATIVE MANUAL</w:t>
          </w:r>
        </w:p>
        <w:p w:rsidR="004F1833" w:rsidRPr="00BC23AF" w:rsidRDefault="00A865CE">
          <w:pPr>
            <w:pStyle w:val="Header"/>
            <w:rPr>
              <w:rFonts w:ascii="Arial" w:hAnsi="Arial"/>
              <w:b/>
              <w:sz w:val="28"/>
            </w:rPr>
          </w:pPr>
          <w:r>
            <w:rPr>
              <w:rFonts w:ascii="Arial" w:hAnsi="Arial"/>
              <w:b/>
              <w:sz w:val="28"/>
            </w:rPr>
            <w:t>4.</w:t>
          </w:r>
          <w:r w:rsidR="002B0133">
            <w:rPr>
              <w:rFonts w:ascii="Arial" w:hAnsi="Arial"/>
              <w:b/>
              <w:sz w:val="28"/>
            </w:rPr>
            <w:t xml:space="preserve">2 </w:t>
          </w:r>
          <w:r w:rsidR="00D972B9">
            <w:rPr>
              <w:rFonts w:ascii="Arial" w:hAnsi="Arial"/>
              <w:b/>
              <w:sz w:val="28"/>
            </w:rPr>
            <w:t>BEN Bidding Process</w:t>
          </w:r>
        </w:p>
      </w:tc>
      <w:tc>
        <w:tcPr>
          <w:tcW w:w="2628" w:type="dxa"/>
        </w:tcPr>
        <w:p w:rsidR="004F1833" w:rsidRDefault="00157236">
          <w:pPr>
            <w:pStyle w:val="Header"/>
            <w:jc w:val="center"/>
          </w:pPr>
          <w:r w:rsidRPr="00157236">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4F1833" w:rsidRDefault="004F1833">
    <w:pPr>
      <w:pStyle w:val="Header"/>
    </w:pPr>
  </w:p>
  <w:p w:rsidR="004F1833" w:rsidRDefault="004F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5"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3"/>
    <w:rsid w:val="000271F1"/>
    <w:rsid w:val="00052730"/>
    <w:rsid w:val="00157236"/>
    <w:rsid w:val="00164DAE"/>
    <w:rsid w:val="00261FE9"/>
    <w:rsid w:val="002B0133"/>
    <w:rsid w:val="002B4500"/>
    <w:rsid w:val="003178E6"/>
    <w:rsid w:val="003D287F"/>
    <w:rsid w:val="004C1446"/>
    <w:rsid w:val="004F1833"/>
    <w:rsid w:val="00773734"/>
    <w:rsid w:val="007930FB"/>
    <w:rsid w:val="007A0CBD"/>
    <w:rsid w:val="007C3299"/>
    <w:rsid w:val="00822DE5"/>
    <w:rsid w:val="0097434D"/>
    <w:rsid w:val="009D6A1B"/>
    <w:rsid w:val="00A132B9"/>
    <w:rsid w:val="00A84912"/>
    <w:rsid w:val="00A865CE"/>
    <w:rsid w:val="00B23909"/>
    <w:rsid w:val="00B27E34"/>
    <w:rsid w:val="00B86937"/>
    <w:rsid w:val="00BC23AF"/>
    <w:rsid w:val="00D972B9"/>
    <w:rsid w:val="00DD64B8"/>
    <w:rsid w:val="00DF5F37"/>
    <w:rsid w:val="00E2116F"/>
    <w:rsid w:val="00FB2543"/>
    <w:rsid w:val="00FD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AFB129-87AA-45B3-9224-779B0F66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D97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dc:description/>
  <cp:lastModifiedBy>Sheila Rasor</cp:lastModifiedBy>
  <cp:revision>2</cp:revision>
  <cp:lastPrinted>2010-07-02T17:32:00Z</cp:lastPrinted>
  <dcterms:created xsi:type="dcterms:W3CDTF">2019-11-01T18:07:00Z</dcterms:created>
  <dcterms:modified xsi:type="dcterms:W3CDTF">2019-11-01T18:07:00Z</dcterms:modified>
</cp:coreProperties>
</file>